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lang w:val="en-US" w:eastAsia="zh-CN"/>
        </w:rPr>
      </w:pPr>
      <w:r>
        <w:rPr>
          <w:rFonts w:hint="eastAsia"/>
          <w:lang w:val="en-US" w:eastAsia="zh-CN"/>
        </w:rPr>
        <w:t>法学院“雏鹰扶持计划”子基金管理使用实施细则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firstLine="444"/>
        <w:jc w:val="left"/>
        <w:rPr>
          <w:rFonts w:hint="eastAsia" w:ascii="仿宋" w:hAnsi="仿宋" w:eastAsia="仿宋" w:cs="仿宋"/>
          <w:color w:val="333333"/>
          <w:sz w:val="28"/>
          <w:szCs w:val="28"/>
        </w:rPr>
      </w:pPr>
      <w:r>
        <w:rPr>
          <w:rFonts w:hint="eastAsia" w:ascii="仿宋" w:hAnsi="仿宋" w:eastAsia="仿宋" w:cs="仿宋"/>
          <w:i w:val="0"/>
          <w:caps w:val="0"/>
          <w:color w:val="000000"/>
          <w:spacing w:val="0"/>
          <w:kern w:val="0"/>
          <w:sz w:val="28"/>
          <w:szCs w:val="28"/>
          <w:lang w:val="en-US" w:eastAsia="zh-CN" w:bidi="ar"/>
        </w:rPr>
        <w:t>为深入推进法学院国际化办学进程，培养具有国际视野和国际竞争力的高素质人才，法学院在“中南法学一流学科建设基金”下设“雏鹰扶持计划”子基金，鼓励更多法学院学子参加出国交流项目。为规范、合理使用基金，制定本实施细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jc w:val="left"/>
        <w:rPr>
          <w:rFonts w:hint="eastAsia" w:ascii="仿宋" w:hAnsi="仿宋" w:eastAsia="仿宋" w:cs="仿宋"/>
          <w:color w:val="333333"/>
          <w:sz w:val="28"/>
          <w:szCs w:val="28"/>
        </w:rPr>
      </w:pPr>
      <w:r>
        <w:rPr>
          <w:rFonts w:hint="eastAsia" w:ascii="仿宋" w:hAnsi="仿宋" w:eastAsia="仿宋" w:cs="仿宋"/>
          <w:b/>
          <w:i w:val="0"/>
          <w:caps w:val="0"/>
          <w:color w:val="000000"/>
          <w:spacing w:val="0"/>
          <w:kern w:val="0"/>
          <w:sz w:val="28"/>
          <w:szCs w:val="28"/>
          <w:lang w:val="en-US" w:eastAsia="zh-CN" w:bidi="ar"/>
        </w:rPr>
        <w:t>第一条 </w:t>
      </w:r>
      <w:r>
        <w:rPr>
          <w:rStyle w:val="5"/>
          <w:rFonts w:hint="eastAsia" w:ascii="仿宋" w:hAnsi="仿宋" w:eastAsia="仿宋" w:cs="仿宋"/>
          <w:i w:val="0"/>
          <w:caps w:val="0"/>
          <w:color w:val="000000"/>
          <w:spacing w:val="0"/>
          <w:kern w:val="0"/>
          <w:sz w:val="28"/>
          <w:szCs w:val="28"/>
          <w:lang w:val="en-US" w:eastAsia="zh-CN" w:bidi="ar"/>
        </w:rPr>
        <w:t>申请条件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firstLine="384"/>
        <w:jc w:val="left"/>
        <w:rPr>
          <w:rFonts w:hint="eastAsia" w:ascii="仿宋" w:hAnsi="仿宋" w:eastAsia="仿宋" w:cs="仿宋"/>
          <w:color w:val="333333"/>
          <w:sz w:val="28"/>
          <w:szCs w:val="28"/>
        </w:rPr>
      </w:pPr>
      <w:r>
        <w:rPr>
          <w:rFonts w:hint="eastAsia" w:ascii="仿宋" w:hAnsi="仿宋" w:eastAsia="仿宋" w:cs="仿宋"/>
          <w:i w:val="0"/>
          <w:caps w:val="0"/>
          <w:color w:val="000000"/>
          <w:spacing w:val="0"/>
          <w:kern w:val="0"/>
          <w:sz w:val="28"/>
          <w:szCs w:val="28"/>
          <w:lang w:val="en-US" w:eastAsia="zh-CN" w:bidi="ar"/>
        </w:rPr>
        <w:t>1、法学专业全日制在籍本科生、硕士生、博士生。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firstLine="384"/>
        <w:jc w:val="left"/>
        <w:rPr>
          <w:rFonts w:hint="eastAsia" w:ascii="仿宋" w:hAnsi="仿宋" w:eastAsia="仿宋" w:cs="仿宋"/>
          <w:color w:val="333333"/>
          <w:sz w:val="28"/>
          <w:szCs w:val="28"/>
        </w:rPr>
      </w:pPr>
      <w:r>
        <w:rPr>
          <w:rFonts w:hint="eastAsia" w:ascii="仿宋" w:hAnsi="仿宋" w:eastAsia="仿宋" w:cs="仿宋"/>
          <w:i w:val="0"/>
          <w:caps w:val="0"/>
          <w:color w:val="000000"/>
          <w:spacing w:val="0"/>
          <w:kern w:val="0"/>
          <w:sz w:val="28"/>
          <w:szCs w:val="28"/>
          <w:lang w:val="en-US" w:eastAsia="zh-CN" w:bidi="ar"/>
        </w:rPr>
        <w:t>2、遵守国家法律法规及校规校纪，品行端正，无违法违纪行为。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firstLine="384"/>
        <w:jc w:val="left"/>
        <w:rPr>
          <w:rFonts w:hint="eastAsia" w:ascii="仿宋" w:hAnsi="仿宋" w:eastAsia="仿宋" w:cs="仿宋"/>
          <w:color w:val="333333"/>
          <w:sz w:val="28"/>
          <w:szCs w:val="28"/>
        </w:rPr>
      </w:pPr>
      <w:r>
        <w:rPr>
          <w:rFonts w:hint="eastAsia" w:ascii="仿宋" w:hAnsi="仿宋" w:eastAsia="仿宋" w:cs="仿宋"/>
          <w:i w:val="0"/>
          <w:caps w:val="0"/>
          <w:color w:val="000000"/>
          <w:spacing w:val="0"/>
          <w:kern w:val="0"/>
          <w:sz w:val="28"/>
          <w:szCs w:val="28"/>
          <w:lang w:val="en-US" w:eastAsia="zh-CN" w:bidi="ar"/>
        </w:rPr>
        <w:t>3、学习态度端正，勤奋刻苦，成绩优良，无不及格课程。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firstLine="384"/>
        <w:jc w:val="left"/>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4、获得教育部认定的国外正规大学法学专业交流项目的邀请信或录取函。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firstLine="384"/>
        <w:jc w:val="left"/>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5、已申请当年国家留学基金委资助。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jc w:val="left"/>
        <w:rPr>
          <w:rFonts w:hint="eastAsia" w:ascii="仿宋" w:hAnsi="仿宋" w:eastAsia="仿宋" w:cs="仿宋"/>
          <w:color w:val="333333"/>
          <w:sz w:val="28"/>
          <w:szCs w:val="28"/>
        </w:rPr>
      </w:pPr>
      <w:r>
        <w:rPr>
          <w:rFonts w:hint="eastAsia" w:ascii="仿宋" w:hAnsi="仿宋" w:eastAsia="仿宋" w:cs="仿宋"/>
          <w:b/>
          <w:i w:val="0"/>
          <w:caps w:val="0"/>
          <w:color w:val="000000"/>
          <w:spacing w:val="0"/>
          <w:kern w:val="0"/>
          <w:sz w:val="28"/>
          <w:szCs w:val="28"/>
          <w:lang w:val="en-US" w:eastAsia="zh-CN" w:bidi="ar"/>
        </w:rPr>
        <w:t>第二条 </w:t>
      </w:r>
      <w:r>
        <w:rPr>
          <w:rStyle w:val="5"/>
          <w:rFonts w:hint="eastAsia" w:ascii="仿宋" w:hAnsi="仿宋" w:eastAsia="仿宋" w:cs="仿宋"/>
          <w:i w:val="0"/>
          <w:caps w:val="0"/>
          <w:color w:val="000000"/>
          <w:spacing w:val="0"/>
          <w:kern w:val="0"/>
          <w:sz w:val="28"/>
          <w:szCs w:val="28"/>
          <w:lang w:val="en-US" w:eastAsia="zh-CN" w:bidi="ar"/>
        </w:rPr>
        <w:t>资助类型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firstLine="384"/>
        <w:jc w:val="left"/>
        <w:rPr>
          <w:rFonts w:hint="eastAsia" w:ascii="仿宋" w:hAnsi="仿宋" w:eastAsia="仿宋" w:cs="仿宋"/>
          <w:color w:val="333333"/>
          <w:sz w:val="28"/>
          <w:szCs w:val="28"/>
        </w:rPr>
      </w:pPr>
      <w:r>
        <w:rPr>
          <w:rFonts w:hint="eastAsia" w:ascii="仿宋" w:hAnsi="仿宋" w:eastAsia="仿宋" w:cs="仿宋"/>
          <w:i w:val="0"/>
          <w:caps w:val="0"/>
          <w:color w:val="000000"/>
          <w:spacing w:val="0"/>
          <w:kern w:val="0"/>
          <w:sz w:val="28"/>
          <w:szCs w:val="28"/>
          <w:lang w:val="en-US" w:eastAsia="zh-CN" w:bidi="ar"/>
        </w:rPr>
        <w:t>1、经学校、学院组织选拔的短期实习、冬夏令营。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firstLine="384"/>
        <w:jc w:val="left"/>
        <w:rPr>
          <w:rFonts w:hint="eastAsia" w:ascii="仿宋" w:hAnsi="仿宋" w:eastAsia="仿宋" w:cs="仿宋"/>
          <w:color w:val="333333"/>
          <w:sz w:val="28"/>
          <w:szCs w:val="28"/>
        </w:rPr>
      </w:pPr>
      <w:r>
        <w:rPr>
          <w:rFonts w:hint="eastAsia" w:ascii="仿宋" w:hAnsi="仿宋" w:eastAsia="仿宋" w:cs="仿宋"/>
          <w:i w:val="0"/>
          <w:caps w:val="0"/>
          <w:color w:val="000000"/>
          <w:spacing w:val="0"/>
          <w:kern w:val="0"/>
          <w:sz w:val="28"/>
          <w:szCs w:val="28"/>
          <w:lang w:val="en-US" w:eastAsia="zh-CN" w:bidi="ar"/>
        </w:rPr>
        <w:t>2、经学校、学院组织选拔的为期三个月以上的交换生项目、访问学者项目。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firstLine="384"/>
        <w:jc w:val="left"/>
        <w:rPr>
          <w:rFonts w:hint="eastAsia" w:ascii="仿宋" w:hAnsi="仿宋" w:eastAsia="仿宋" w:cs="仿宋"/>
          <w:color w:val="333333"/>
          <w:sz w:val="28"/>
          <w:szCs w:val="28"/>
        </w:rPr>
      </w:pPr>
      <w:r>
        <w:rPr>
          <w:rFonts w:hint="eastAsia" w:ascii="仿宋" w:hAnsi="仿宋" w:eastAsia="仿宋" w:cs="仿宋"/>
          <w:i w:val="0"/>
          <w:caps w:val="0"/>
          <w:color w:val="000000"/>
          <w:spacing w:val="0"/>
          <w:kern w:val="0"/>
          <w:sz w:val="28"/>
          <w:szCs w:val="28"/>
          <w:lang w:val="en-US" w:eastAsia="zh-CN" w:bidi="ar"/>
        </w:rPr>
        <w:t>3、国外攻读学位。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jc w:val="left"/>
        <w:rPr>
          <w:rFonts w:hint="eastAsia" w:ascii="仿宋" w:hAnsi="仿宋" w:eastAsia="仿宋" w:cs="仿宋"/>
          <w:color w:val="333333"/>
          <w:sz w:val="28"/>
          <w:szCs w:val="28"/>
        </w:rPr>
      </w:pPr>
      <w:r>
        <w:rPr>
          <w:rFonts w:hint="eastAsia" w:ascii="仿宋" w:hAnsi="仿宋" w:eastAsia="仿宋" w:cs="仿宋"/>
          <w:b/>
          <w:i w:val="0"/>
          <w:caps w:val="0"/>
          <w:color w:val="000000"/>
          <w:spacing w:val="0"/>
          <w:kern w:val="0"/>
          <w:sz w:val="28"/>
          <w:szCs w:val="28"/>
          <w:lang w:val="en-US" w:eastAsia="zh-CN" w:bidi="ar"/>
        </w:rPr>
        <w:t>第三条 </w:t>
      </w:r>
      <w:r>
        <w:rPr>
          <w:rStyle w:val="5"/>
          <w:rFonts w:hint="eastAsia" w:ascii="仿宋" w:hAnsi="仿宋" w:eastAsia="仿宋" w:cs="仿宋"/>
          <w:i w:val="0"/>
          <w:caps w:val="0"/>
          <w:color w:val="000000"/>
          <w:spacing w:val="0"/>
          <w:kern w:val="0"/>
          <w:sz w:val="28"/>
          <w:szCs w:val="28"/>
          <w:lang w:val="en-US" w:eastAsia="zh-CN" w:bidi="ar"/>
        </w:rPr>
        <w:t>资助金额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firstLine="336"/>
        <w:jc w:val="left"/>
        <w:rPr>
          <w:rFonts w:hint="eastAsia" w:ascii="仿宋" w:hAnsi="仿宋" w:eastAsia="仿宋" w:cs="仿宋"/>
          <w:color w:val="333333"/>
          <w:sz w:val="28"/>
          <w:szCs w:val="28"/>
        </w:rPr>
      </w:pPr>
      <w:r>
        <w:rPr>
          <w:rFonts w:hint="eastAsia" w:ascii="仿宋" w:hAnsi="仿宋" w:eastAsia="仿宋" w:cs="仿宋"/>
          <w:i w:val="0"/>
          <w:caps w:val="0"/>
          <w:color w:val="000000"/>
          <w:spacing w:val="0"/>
          <w:kern w:val="0"/>
          <w:sz w:val="28"/>
          <w:szCs w:val="28"/>
          <w:lang w:val="en-US" w:eastAsia="zh-CN" w:bidi="ar"/>
        </w:rPr>
        <w:t>1、短期实习、冬夏令营：每个项目资助1人，每人资助1万元，一年内资助总额原则上不超过10万元。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firstLine="336"/>
        <w:jc w:val="left"/>
        <w:rPr>
          <w:rFonts w:hint="eastAsia" w:ascii="仿宋" w:hAnsi="仿宋" w:eastAsia="仿宋" w:cs="仿宋"/>
          <w:color w:val="333333"/>
          <w:sz w:val="28"/>
          <w:szCs w:val="28"/>
        </w:rPr>
      </w:pPr>
      <w:r>
        <w:rPr>
          <w:rFonts w:hint="eastAsia" w:ascii="仿宋" w:hAnsi="仿宋" w:eastAsia="仿宋" w:cs="仿宋"/>
          <w:i w:val="0"/>
          <w:caps w:val="0"/>
          <w:color w:val="000000"/>
          <w:spacing w:val="0"/>
          <w:kern w:val="0"/>
          <w:sz w:val="28"/>
          <w:szCs w:val="28"/>
          <w:lang w:val="en-US" w:eastAsia="zh-CN" w:bidi="ar"/>
        </w:rPr>
        <w:t>2、交换生项目、访问学者：每个项目资助2人。按国家公派留学人员奖学金资助标准的70%予以资助。一年内资助总额原则上不超过60万元。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firstLine="336"/>
        <w:jc w:val="left"/>
        <w:rPr>
          <w:rFonts w:hint="eastAsia" w:ascii="仿宋" w:hAnsi="仿宋" w:eastAsia="仿宋" w:cs="仿宋"/>
          <w:color w:val="333333"/>
          <w:sz w:val="28"/>
          <w:szCs w:val="28"/>
        </w:rPr>
      </w:pPr>
      <w:r>
        <w:rPr>
          <w:rFonts w:hint="eastAsia" w:ascii="仿宋" w:hAnsi="仿宋" w:eastAsia="仿宋" w:cs="仿宋"/>
          <w:i w:val="0"/>
          <w:caps w:val="0"/>
          <w:color w:val="000000"/>
          <w:spacing w:val="0"/>
          <w:kern w:val="0"/>
          <w:sz w:val="28"/>
          <w:szCs w:val="28"/>
          <w:lang w:val="en-US" w:eastAsia="zh-CN" w:bidi="ar"/>
        </w:rPr>
        <w:t>3、攻读学位：攻读硕士学位，一、二类学校分别资助15万元、10万元；攻读博士学位，一、二类学校分别资助20万元、15万元。一年内资助总额原则上不超过130万元。一、二类学校参考目录见附件。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jc w:val="left"/>
        <w:rPr>
          <w:rFonts w:hint="eastAsia" w:ascii="仿宋" w:hAnsi="仿宋" w:eastAsia="仿宋" w:cs="仿宋"/>
          <w:color w:val="333333"/>
          <w:sz w:val="28"/>
          <w:szCs w:val="28"/>
        </w:rPr>
      </w:pPr>
      <w:r>
        <w:rPr>
          <w:rFonts w:hint="eastAsia" w:ascii="仿宋" w:hAnsi="仿宋" w:eastAsia="仿宋" w:cs="仿宋"/>
          <w:b/>
          <w:i w:val="0"/>
          <w:caps w:val="0"/>
          <w:color w:val="000000"/>
          <w:spacing w:val="0"/>
          <w:kern w:val="0"/>
          <w:sz w:val="28"/>
          <w:szCs w:val="28"/>
          <w:lang w:val="en-US" w:eastAsia="zh-CN" w:bidi="ar"/>
        </w:rPr>
        <w:t>第四条 </w:t>
      </w:r>
      <w:r>
        <w:rPr>
          <w:rStyle w:val="5"/>
          <w:rFonts w:hint="eastAsia" w:ascii="仿宋" w:hAnsi="仿宋" w:eastAsia="仿宋" w:cs="仿宋"/>
          <w:i w:val="0"/>
          <w:caps w:val="0"/>
          <w:color w:val="000000"/>
          <w:spacing w:val="0"/>
          <w:kern w:val="0"/>
          <w:sz w:val="28"/>
          <w:szCs w:val="28"/>
          <w:lang w:val="en-US" w:eastAsia="zh-CN" w:bidi="ar"/>
        </w:rPr>
        <w:t>遴选程序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firstLine="336"/>
        <w:jc w:val="left"/>
        <w:rPr>
          <w:rFonts w:hint="eastAsia" w:ascii="仿宋" w:hAnsi="仿宋" w:eastAsia="仿宋" w:cs="仿宋"/>
          <w:color w:val="333333"/>
          <w:sz w:val="28"/>
          <w:szCs w:val="28"/>
        </w:rPr>
      </w:pPr>
      <w:r>
        <w:rPr>
          <w:rFonts w:hint="eastAsia" w:ascii="仿宋" w:hAnsi="仿宋" w:eastAsia="仿宋" w:cs="仿宋"/>
          <w:i w:val="0"/>
          <w:caps w:val="0"/>
          <w:color w:val="000000"/>
          <w:spacing w:val="0"/>
          <w:kern w:val="0"/>
          <w:sz w:val="28"/>
          <w:szCs w:val="28"/>
          <w:lang w:val="en-US" w:eastAsia="zh-CN" w:bidi="ar"/>
        </w:rPr>
        <w:t>1、遴选时间：每学年春季学期启动当学年评选工作。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firstLine="336"/>
        <w:jc w:val="left"/>
        <w:rPr>
          <w:rFonts w:hint="eastAsia" w:ascii="仿宋" w:hAnsi="仿宋" w:eastAsia="仿宋" w:cs="仿宋"/>
          <w:color w:val="333333"/>
          <w:sz w:val="28"/>
          <w:szCs w:val="28"/>
        </w:rPr>
      </w:pPr>
      <w:r>
        <w:rPr>
          <w:rFonts w:hint="eastAsia" w:ascii="仿宋" w:hAnsi="仿宋" w:eastAsia="仿宋" w:cs="仿宋"/>
          <w:i w:val="0"/>
          <w:caps w:val="0"/>
          <w:color w:val="000000"/>
          <w:spacing w:val="0"/>
          <w:kern w:val="0"/>
          <w:sz w:val="28"/>
          <w:szCs w:val="28"/>
          <w:lang w:val="en-US" w:eastAsia="zh-CN" w:bidi="ar"/>
        </w:rPr>
        <w:t>2、遴选程序：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firstLine="336"/>
        <w:jc w:val="left"/>
        <w:rPr>
          <w:rFonts w:hint="eastAsia" w:ascii="仿宋" w:hAnsi="仿宋" w:eastAsia="仿宋" w:cs="仿宋"/>
          <w:color w:val="333333"/>
          <w:sz w:val="28"/>
          <w:szCs w:val="28"/>
        </w:rPr>
      </w:pPr>
      <w:r>
        <w:rPr>
          <w:rFonts w:hint="eastAsia" w:ascii="仿宋" w:hAnsi="仿宋" w:eastAsia="仿宋" w:cs="仿宋"/>
          <w:i w:val="0"/>
          <w:caps w:val="0"/>
          <w:color w:val="000000"/>
          <w:spacing w:val="0"/>
          <w:kern w:val="0"/>
          <w:sz w:val="28"/>
          <w:szCs w:val="28"/>
          <w:lang w:val="en-US" w:eastAsia="zh-CN" w:bidi="ar"/>
        </w:rPr>
        <w:t>（1）学生根据申请条件自愿报名，向学院提交录取证明、成绩单、外语水平证明件、荣誉证书复印件等相关材料。本科生提交至法学院学生工作办公室，研究生提交至研究生工作办公室。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firstLine="336"/>
        <w:jc w:val="left"/>
        <w:rPr>
          <w:rFonts w:hint="eastAsia" w:ascii="仿宋" w:hAnsi="仿宋" w:eastAsia="仿宋" w:cs="仿宋"/>
          <w:color w:val="333333"/>
          <w:sz w:val="28"/>
          <w:szCs w:val="28"/>
        </w:rPr>
      </w:pPr>
      <w:r>
        <w:rPr>
          <w:rFonts w:hint="eastAsia" w:ascii="仿宋" w:hAnsi="仿宋" w:eastAsia="仿宋" w:cs="仿宋"/>
          <w:i w:val="0"/>
          <w:caps w:val="0"/>
          <w:color w:val="000000"/>
          <w:spacing w:val="0"/>
          <w:kern w:val="0"/>
          <w:sz w:val="28"/>
          <w:szCs w:val="28"/>
          <w:lang w:val="en-US" w:eastAsia="zh-CN" w:bidi="ar"/>
        </w:rPr>
        <w:t>（2）法学院进行资格审核，初审后提交法学一流学科建设执行委员会。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firstLine="336"/>
        <w:jc w:val="left"/>
        <w:rPr>
          <w:rFonts w:hint="eastAsia" w:ascii="仿宋" w:hAnsi="仿宋" w:eastAsia="仿宋" w:cs="仿宋"/>
          <w:color w:val="333333"/>
          <w:sz w:val="28"/>
          <w:szCs w:val="28"/>
        </w:rPr>
      </w:pPr>
      <w:r>
        <w:rPr>
          <w:rFonts w:hint="eastAsia" w:ascii="仿宋" w:hAnsi="仿宋" w:eastAsia="仿宋" w:cs="仿宋"/>
          <w:i w:val="0"/>
          <w:caps w:val="0"/>
          <w:color w:val="000000"/>
          <w:spacing w:val="0"/>
          <w:kern w:val="0"/>
          <w:sz w:val="28"/>
          <w:szCs w:val="28"/>
          <w:lang w:val="en-US" w:eastAsia="zh-CN" w:bidi="ar"/>
        </w:rPr>
        <w:t>（3）法学一流学科建设执行委员会根据项目情况、学生个人情况、年度基金额度确定每年资助名单、资助人数和资助额度。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jc w:val="left"/>
        <w:rPr>
          <w:rFonts w:hint="eastAsia" w:ascii="仿宋" w:hAnsi="仿宋" w:eastAsia="仿宋" w:cs="仿宋"/>
          <w:color w:val="333333"/>
          <w:sz w:val="28"/>
          <w:szCs w:val="28"/>
        </w:rPr>
      </w:pPr>
      <w:r>
        <w:rPr>
          <w:rFonts w:hint="eastAsia" w:ascii="仿宋" w:hAnsi="仿宋" w:eastAsia="仿宋" w:cs="仿宋"/>
          <w:b/>
          <w:i w:val="0"/>
          <w:caps w:val="0"/>
          <w:color w:val="000000"/>
          <w:spacing w:val="0"/>
          <w:kern w:val="0"/>
          <w:sz w:val="28"/>
          <w:szCs w:val="28"/>
          <w:lang w:val="en-US" w:eastAsia="zh-CN" w:bidi="ar"/>
        </w:rPr>
        <w:t>第五条 </w:t>
      </w:r>
      <w:r>
        <w:rPr>
          <w:rStyle w:val="5"/>
          <w:rFonts w:hint="eastAsia" w:ascii="仿宋" w:hAnsi="仿宋" w:eastAsia="仿宋" w:cs="仿宋"/>
          <w:i w:val="0"/>
          <w:caps w:val="0"/>
          <w:color w:val="000000"/>
          <w:spacing w:val="0"/>
          <w:kern w:val="0"/>
          <w:sz w:val="28"/>
          <w:szCs w:val="28"/>
          <w:lang w:val="en-US" w:eastAsia="zh-CN" w:bidi="ar"/>
        </w:rPr>
        <w:t>遴选标准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firstLine="384"/>
        <w:jc w:val="left"/>
        <w:rPr>
          <w:rFonts w:hint="eastAsia" w:ascii="仿宋" w:hAnsi="仿宋" w:eastAsia="仿宋" w:cs="仿宋"/>
          <w:color w:val="333333"/>
          <w:sz w:val="28"/>
          <w:szCs w:val="28"/>
        </w:rPr>
      </w:pPr>
      <w:r>
        <w:rPr>
          <w:rFonts w:hint="eastAsia" w:ascii="仿宋" w:hAnsi="仿宋" w:eastAsia="仿宋" w:cs="仿宋"/>
          <w:i w:val="0"/>
          <w:caps w:val="0"/>
          <w:color w:val="000000"/>
          <w:spacing w:val="0"/>
          <w:kern w:val="0"/>
          <w:sz w:val="28"/>
          <w:szCs w:val="28"/>
          <w:lang w:val="en-US" w:eastAsia="zh-CN" w:bidi="ar"/>
        </w:rPr>
        <w:t>1、本基金每年使用总额度不超过200万元。法学一流学科建设执行委员会根据当年资金使用情况和申请人的学业成绩、语言水平、家庭经济情况、出访地区的吃住行条件等综合评定，可适当调整各类交流项目的资金使用额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firstLine="384"/>
        <w:jc w:val="left"/>
        <w:rPr>
          <w:rFonts w:hint="eastAsia" w:ascii="仿宋" w:hAnsi="仿宋" w:eastAsia="仿宋" w:cs="仿宋"/>
          <w:color w:val="333333"/>
          <w:sz w:val="28"/>
          <w:szCs w:val="28"/>
        </w:rPr>
      </w:pPr>
      <w:r>
        <w:rPr>
          <w:rFonts w:hint="eastAsia" w:ascii="仿宋" w:hAnsi="仿宋" w:eastAsia="仿宋" w:cs="仿宋"/>
          <w:i w:val="0"/>
          <w:caps w:val="0"/>
          <w:color w:val="000000"/>
          <w:spacing w:val="0"/>
          <w:kern w:val="0"/>
          <w:sz w:val="28"/>
          <w:szCs w:val="28"/>
          <w:lang w:val="en-US" w:eastAsia="zh-CN" w:bidi="ar"/>
        </w:rPr>
        <w:t>2、攻读学位的学生，若就读学校不在本细则规定的一、二类学校参考目录内，亦可提出申请，由法学一流学科建设执行委员会评审决定是否予以资助。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firstLine="384"/>
        <w:jc w:val="left"/>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3、获得国家留学基金委的资助和作为师资储备人才赴国外攻读学位的，不再接受本基金资助。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firstLine="384"/>
        <w:jc w:val="left"/>
        <w:rPr>
          <w:rFonts w:hint="eastAsia" w:ascii="仿宋" w:hAnsi="仿宋" w:eastAsia="仿宋" w:cs="仿宋"/>
          <w:color w:val="333333"/>
          <w:sz w:val="28"/>
          <w:szCs w:val="28"/>
        </w:rPr>
      </w:pPr>
      <w:r>
        <w:rPr>
          <w:rFonts w:hint="eastAsia" w:ascii="仿宋" w:hAnsi="仿宋" w:eastAsia="仿宋" w:cs="仿宋"/>
          <w:i w:val="0"/>
          <w:caps w:val="0"/>
          <w:color w:val="000000"/>
          <w:spacing w:val="0"/>
          <w:kern w:val="0"/>
          <w:sz w:val="28"/>
          <w:szCs w:val="28"/>
          <w:lang w:val="en-US" w:eastAsia="zh-CN" w:bidi="ar"/>
        </w:rPr>
        <w:t>4、申请学生若已获得高于本基金标准的其他资助，则不再提供资助；若所获其他资助低于本基</w:t>
      </w:r>
      <w:bookmarkStart w:id="0" w:name="_GoBack"/>
      <w:bookmarkEnd w:id="0"/>
      <w:r>
        <w:rPr>
          <w:rFonts w:hint="eastAsia" w:ascii="仿宋" w:hAnsi="仿宋" w:eastAsia="仿宋" w:cs="仿宋"/>
          <w:i w:val="0"/>
          <w:caps w:val="0"/>
          <w:color w:val="000000"/>
          <w:spacing w:val="0"/>
          <w:kern w:val="0"/>
          <w:sz w:val="28"/>
          <w:szCs w:val="28"/>
          <w:lang w:val="en-US" w:eastAsia="zh-CN" w:bidi="ar"/>
        </w:rPr>
        <w:t>金标资，则按本标准补齐差额。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firstLine="384"/>
        <w:jc w:val="left"/>
        <w:rPr>
          <w:rFonts w:hint="eastAsia" w:ascii="仿宋" w:hAnsi="仿宋" w:eastAsia="仿宋" w:cs="仿宋"/>
          <w:color w:val="333333"/>
          <w:sz w:val="28"/>
          <w:szCs w:val="28"/>
        </w:rPr>
      </w:pPr>
      <w:r>
        <w:rPr>
          <w:rFonts w:hint="eastAsia" w:ascii="仿宋" w:hAnsi="仿宋" w:eastAsia="仿宋" w:cs="仿宋"/>
          <w:i w:val="0"/>
          <w:caps w:val="0"/>
          <w:color w:val="000000"/>
          <w:spacing w:val="0"/>
          <w:kern w:val="0"/>
          <w:sz w:val="28"/>
          <w:szCs w:val="28"/>
          <w:lang w:val="en-US" w:eastAsia="zh-CN" w:bidi="ar"/>
        </w:rPr>
        <w:t>5、对家庭条件特别困难、学习成绩特别优秀、交流学校特别知名的学生，经法学一流学科建设执行委员会评审同意，可予以全额资助。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jc w:val="left"/>
        <w:rPr>
          <w:rFonts w:hint="eastAsia" w:ascii="仿宋" w:hAnsi="仿宋" w:eastAsia="仿宋" w:cs="仿宋"/>
          <w:color w:val="333333"/>
          <w:sz w:val="28"/>
          <w:szCs w:val="28"/>
        </w:rPr>
      </w:pPr>
      <w:r>
        <w:rPr>
          <w:rFonts w:hint="eastAsia" w:ascii="仿宋" w:hAnsi="仿宋" w:eastAsia="仿宋" w:cs="仿宋"/>
          <w:b/>
          <w:i w:val="0"/>
          <w:caps w:val="0"/>
          <w:color w:val="000000"/>
          <w:spacing w:val="0"/>
          <w:kern w:val="0"/>
          <w:sz w:val="28"/>
          <w:szCs w:val="28"/>
          <w:lang w:val="en-US" w:eastAsia="zh-CN" w:bidi="ar"/>
        </w:rPr>
        <w:t>第六条 </w:t>
      </w:r>
      <w:r>
        <w:rPr>
          <w:rStyle w:val="5"/>
          <w:rFonts w:hint="eastAsia" w:ascii="仿宋" w:hAnsi="仿宋" w:eastAsia="仿宋" w:cs="仿宋"/>
          <w:i w:val="0"/>
          <w:caps w:val="0"/>
          <w:color w:val="000000"/>
          <w:spacing w:val="0"/>
          <w:kern w:val="0"/>
          <w:sz w:val="28"/>
          <w:szCs w:val="28"/>
          <w:lang w:val="en-US" w:eastAsia="zh-CN" w:bidi="ar"/>
        </w:rPr>
        <w:t>资助发放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firstLine="444"/>
        <w:jc w:val="left"/>
        <w:rPr>
          <w:rFonts w:hint="eastAsia" w:ascii="仿宋" w:hAnsi="仿宋" w:eastAsia="仿宋" w:cs="仿宋"/>
          <w:color w:val="333333"/>
          <w:sz w:val="28"/>
          <w:szCs w:val="28"/>
        </w:rPr>
      </w:pPr>
      <w:r>
        <w:rPr>
          <w:rFonts w:hint="eastAsia" w:ascii="仿宋" w:hAnsi="仿宋" w:eastAsia="仿宋" w:cs="仿宋"/>
          <w:i w:val="0"/>
          <w:caps w:val="0"/>
          <w:color w:val="000000"/>
          <w:spacing w:val="0"/>
          <w:kern w:val="0"/>
          <w:sz w:val="28"/>
          <w:szCs w:val="28"/>
          <w:lang w:val="en-US" w:eastAsia="zh-CN" w:bidi="ar"/>
        </w:rPr>
        <w:t>1、短期实习、冬夏令营在评审结束后一次性发放。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firstLine="444"/>
        <w:jc w:val="left"/>
        <w:rPr>
          <w:rFonts w:hint="eastAsia" w:ascii="仿宋" w:hAnsi="仿宋" w:eastAsia="仿宋" w:cs="仿宋"/>
          <w:color w:val="333333"/>
          <w:sz w:val="28"/>
          <w:szCs w:val="28"/>
        </w:rPr>
      </w:pPr>
      <w:r>
        <w:rPr>
          <w:rFonts w:hint="eastAsia" w:ascii="仿宋" w:hAnsi="仿宋" w:eastAsia="仿宋" w:cs="仿宋"/>
          <w:i w:val="0"/>
          <w:caps w:val="0"/>
          <w:color w:val="000000"/>
          <w:spacing w:val="0"/>
          <w:kern w:val="0"/>
          <w:sz w:val="28"/>
          <w:szCs w:val="28"/>
          <w:lang w:val="en-US" w:eastAsia="zh-CN" w:bidi="ar"/>
        </w:rPr>
        <w:t>2、交换生、访问学者在项目完成后发放。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firstLine="444"/>
        <w:jc w:val="left"/>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3、赴国外攻读学位的，学生办理好</w:t>
      </w:r>
      <w:r>
        <w:rPr>
          <w:rFonts w:hint="eastAsia" w:ascii="仿宋" w:hAnsi="仿宋" w:eastAsia="仿宋" w:cs="仿宋"/>
          <w:i w:val="0"/>
          <w:caps w:val="0"/>
          <w:color w:val="000000"/>
          <w:spacing w:val="0"/>
          <w:kern w:val="0"/>
          <w:sz w:val="28"/>
          <w:szCs w:val="28"/>
          <w:highlight w:val="none"/>
          <w:lang w:val="en-US" w:eastAsia="zh-CN" w:bidi="ar"/>
        </w:rPr>
        <w:t>入学</w:t>
      </w:r>
      <w:r>
        <w:rPr>
          <w:rFonts w:hint="eastAsia" w:ascii="仿宋" w:hAnsi="仿宋" w:eastAsia="仿宋" w:cs="仿宋"/>
          <w:i w:val="0"/>
          <w:caps w:val="0"/>
          <w:color w:val="000000"/>
          <w:spacing w:val="0"/>
          <w:kern w:val="0"/>
          <w:sz w:val="28"/>
          <w:szCs w:val="28"/>
          <w:lang w:val="en-US" w:eastAsia="zh-CN" w:bidi="ar"/>
        </w:rPr>
        <w:t>手续后发放70%，获得相应学位后发放30%。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firstLine="444"/>
        <w:jc w:val="left"/>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4、因资金发放产生的税费由受助个人承担。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jc w:val="left"/>
        <w:rPr>
          <w:rFonts w:hint="eastAsia" w:ascii="仿宋" w:hAnsi="仿宋" w:eastAsia="仿宋" w:cs="仿宋"/>
          <w:color w:val="333333"/>
          <w:sz w:val="28"/>
          <w:szCs w:val="28"/>
        </w:rPr>
      </w:pPr>
      <w:r>
        <w:rPr>
          <w:rFonts w:hint="eastAsia" w:ascii="仿宋" w:hAnsi="仿宋" w:eastAsia="仿宋" w:cs="仿宋"/>
          <w:b/>
          <w:i w:val="0"/>
          <w:caps w:val="0"/>
          <w:color w:val="000000"/>
          <w:spacing w:val="0"/>
          <w:kern w:val="0"/>
          <w:sz w:val="28"/>
          <w:szCs w:val="28"/>
          <w:lang w:val="en-US" w:eastAsia="zh-CN" w:bidi="ar"/>
        </w:rPr>
        <w:t>第七条 </w:t>
      </w:r>
      <w:r>
        <w:rPr>
          <w:rStyle w:val="5"/>
          <w:rFonts w:hint="eastAsia" w:ascii="仿宋" w:hAnsi="仿宋" w:eastAsia="仿宋" w:cs="仿宋"/>
          <w:i w:val="0"/>
          <w:caps w:val="0"/>
          <w:color w:val="000000"/>
          <w:spacing w:val="0"/>
          <w:kern w:val="0"/>
          <w:sz w:val="28"/>
          <w:szCs w:val="28"/>
          <w:lang w:val="en-US" w:eastAsia="zh-CN" w:bidi="ar"/>
        </w:rPr>
        <w:t>跟踪管理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firstLine="384"/>
        <w:jc w:val="left"/>
        <w:rPr>
          <w:rFonts w:hint="eastAsia" w:ascii="仿宋" w:hAnsi="仿宋" w:eastAsia="仿宋" w:cs="仿宋"/>
          <w:color w:val="333333"/>
          <w:sz w:val="28"/>
          <w:szCs w:val="28"/>
        </w:rPr>
      </w:pPr>
      <w:r>
        <w:rPr>
          <w:rFonts w:hint="eastAsia" w:ascii="仿宋" w:hAnsi="仿宋" w:eastAsia="仿宋" w:cs="仿宋"/>
          <w:i w:val="0"/>
          <w:caps w:val="0"/>
          <w:color w:val="000000"/>
          <w:spacing w:val="0"/>
          <w:kern w:val="0"/>
          <w:sz w:val="28"/>
          <w:szCs w:val="28"/>
          <w:lang w:val="en-US" w:eastAsia="zh-CN" w:bidi="ar"/>
        </w:rPr>
        <w:t>1、获助学生在境外学习期间遵守相关法律法规及校规校纪，无违法违纪行为。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firstLine="384"/>
        <w:jc w:val="left"/>
        <w:rPr>
          <w:rFonts w:hint="eastAsia" w:ascii="仿宋" w:hAnsi="仿宋" w:eastAsia="仿宋" w:cs="仿宋"/>
          <w:color w:val="333333"/>
          <w:sz w:val="28"/>
          <w:szCs w:val="28"/>
        </w:rPr>
      </w:pPr>
      <w:r>
        <w:rPr>
          <w:rFonts w:hint="eastAsia" w:ascii="仿宋" w:hAnsi="仿宋" w:eastAsia="仿宋" w:cs="仿宋"/>
          <w:i w:val="0"/>
          <w:caps w:val="0"/>
          <w:color w:val="000000"/>
          <w:spacing w:val="0"/>
          <w:kern w:val="0"/>
          <w:sz w:val="28"/>
          <w:szCs w:val="28"/>
          <w:lang w:val="en-US" w:eastAsia="zh-CN" w:bidi="ar"/>
        </w:rPr>
        <w:t>2、获助学生在境外学习认真刻苦，成绩优良，按时完成学业。若无法完成学业，收回已发放的资助，剩余资助经费将不再发放。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firstLine="384"/>
        <w:jc w:val="left"/>
        <w:rPr>
          <w:rFonts w:hint="eastAsia" w:ascii="仿宋" w:hAnsi="仿宋" w:eastAsia="仿宋" w:cs="仿宋"/>
          <w:color w:val="333333"/>
          <w:sz w:val="28"/>
          <w:szCs w:val="28"/>
        </w:rPr>
      </w:pPr>
      <w:r>
        <w:rPr>
          <w:rFonts w:hint="eastAsia" w:ascii="仿宋" w:hAnsi="仿宋" w:eastAsia="仿宋" w:cs="仿宋"/>
          <w:i w:val="0"/>
          <w:caps w:val="0"/>
          <w:color w:val="000000"/>
          <w:spacing w:val="0"/>
          <w:kern w:val="0"/>
          <w:sz w:val="28"/>
          <w:szCs w:val="28"/>
          <w:lang w:val="en-US" w:eastAsia="zh-CN" w:bidi="ar"/>
        </w:rPr>
        <w:t>3、获助学生应关心母校发展，在适当的时候对母校进行必要的宣传和支持。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firstLine="384"/>
        <w:jc w:val="left"/>
        <w:rPr>
          <w:rFonts w:hint="eastAsia" w:ascii="仿宋" w:hAnsi="仿宋" w:eastAsia="仿宋" w:cs="仿宋"/>
          <w:color w:val="333333"/>
          <w:sz w:val="28"/>
          <w:szCs w:val="28"/>
        </w:rPr>
      </w:pPr>
      <w:r>
        <w:rPr>
          <w:rFonts w:hint="eastAsia" w:ascii="仿宋" w:hAnsi="仿宋" w:eastAsia="仿宋" w:cs="仿宋"/>
          <w:i w:val="0"/>
          <w:caps w:val="0"/>
          <w:color w:val="000000"/>
          <w:spacing w:val="0"/>
          <w:kern w:val="0"/>
          <w:sz w:val="28"/>
          <w:szCs w:val="28"/>
          <w:lang w:val="en-US" w:eastAsia="zh-CN" w:bidi="ar"/>
        </w:rPr>
        <w:t>4、获助学生完成交流（学习）项目后，应在半年内向在校生进行宣讲和经验分享。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jc w:val="left"/>
        <w:rPr>
          <w:rFonts w:hint="eastAsia" w:ascii="仿宋" w:hAnsi="仿宋" w:eastAsia="仿宋" w:cs="仿宋"/>
          <w:color w:val="333333"/>
          <w:sz w:val="28"/>
          <w:szCs w:val="28"/>
        </w:rPr>
      </w:pPr>
      <w:r>
        <w:rPr>
          <w:rStyle w:val="5"/>
          <w:rFonts w:hint="eastAsia" w:ascii="仿宋" w:hAnsi="仿宋" w:eastAsia="仿宋" w:cs="仿宋"/>
          <w:i w:val="0"/>
          <w:caps w:val="0"/>
          <w:color w:val="000000"/>
          <w:spacing w:val="0"/>
          <w:kern w:val="0"/>
          <w:sz w:val="28"/>
          <w:szCs w:val="28"/>
          <w:lang w:val="en-US" w:eastAsia="zh-CN" w:bidi="ar"/>
        </w:rPr>
        <w:t>第八条附则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firstLine="384"/>
        <w:jc w:val="left"/>
        <w:rPr>
          <w:rFonts w:hint="eastAsia" w:ascii="仿宋" w:hAnsi="仿宋" w:eastAsia="仿宋" w:cs="仿宋"/>
          <w:color w:val="333333"/>
          <w:sz w:val="28"/>
          <w:szCs w:val="28"/>
        </w:rPr>
      </w:pPr>
      <w:r>
        <w:rPr>
          <w:rFonts w:hint="eastAsia" w:ascii="仿宋" w:hAnsi="仿宋" w:eastAsia="仿宋" w:cs="仿宋"/>
          <w:i w:val="0"/>
          <w:caps w:val="0"/>
          <w:color w:val="000000"/>
          <w:spacing w:val="0"/>
          <w:kern w:val="0"/>
          <w:sz w:val="28"/>
          <w:szCs w:val="28"/>
          <w:lang w:val="en-US" w:eastAsia="zh-CN" w:bidi="ar"/>
        </w:rPr>
        <w:t>1、本实施细则自颁布之日起生效，实施五年。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firstLine="384"/>
        <w:jc w:val="left"/>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2、本实施细则的最终解释权属法学一流学科建设执行委员会。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firstLine="384"/>
        <w:jc w:val="left"/>
        <w:rPr>
          <w:rFonts w:hint="eastAsia" w:ascii="仿宋" w:hAnsi="仿宋" w:eastAsia="仿宋" w:cs="仿宋"/>
          <w:color w:val="333333"/>
          <w:sz w:val="28"/>
          <w:szCs w:val="28"/>
        </w:rPr>
      </w:pPr>
      <w:r>
        <w:rPr>
          <w:rFonts w:hint="eastAsia" w:ascii="仿宋" w:hAnsi="仿宋" w:eastAsia="仿宋" w:cs="仿宋"/>
          <w:color w:val="333333"/>
          <w:sz w:val="28"/>
          <w:szCs w:val="28"/>
        </w:rPr>
        <w:br w:type="page"/>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jc w:val="left"/>
        <w:rPr>
          <w:rFonts w:hint="eastAsia" w:ascii="仿宋" w:hAnsi="仿宋" w:eastAsia="仿宋" w:cs="仿宋"/>
          <w:color w:val="333333"/>
          <w:sz w:val="28"/>
          <w:szCs w:val="28"/>
        </w:rPr>
      </w:pPr>
      <w:r>
        <w:rPr>
          <w:rFonts w:hint="eastAsia" w:ascii="仿宋" w:hAnsi="仿宋" w:eastAsia="仿宋" w:cs="仿宋"/>
          <w:i w:val="0"/>
          <w:caps w:val="0"/>
          <w:color w:val="000000"/>
          <w:spacing w:val="0"/>
          <w:kern w:val="0"/>
          <w:sz w:val="28"/>
          <w:szCs w:val="28"/>
          <w:lang w:val="en-US" w:eastAsia="zh-CN" w:bidi="ar"/>
        </w:rPr>
        <w:t>附：</w:t>
      </w:r>
    </w:p>
    <w:p>
      <w:pPr>
        <w:pStyle w:val="2"/>
        <w:jc w:val="center"/>
        <w:rPr>
          <w:rFonts w:hint="eastAsia"/>
          <w:lang w:eastAsia="zh-CN"/>
        </w:rPr>
      </w:pPr>
      <w:r>
        <w:rPr>
          <w:rFonts w:hint="eastAsia"/>
          <w:lang w:eastAsia="zh-CN"/>
        </w:rPr>
        <w:t>“雏鹰扶持计划”资助攻读学位高校参考目录</w:t>
      </w:r>
    </w:p>
    <w:tbl>
      <w:tblPr>
        <w:tblStyle w:val="6"/>
        <w:tblW w:w="8107" w:type="dxa"/>
        <w:tblInd w:w="0" w:type="dxa"/>
        <w:shd w:val="clear" w:color="auto" w:fill="auto"/>
        <w:tblLayout w:type="fixed"/>
        <w:tblCellMar>
          <w:top w:w="0" w:type="dxa"/>
          <w:left w:w="0" w:type="dxa"/>
          <w:bottom w:w="0" w:type="dxa"/>
          <w:right w:w="0" w:type="dxa"/>
        </w:tblCellMar>
      </w:tblPr>
      <w:tblGrid>
        <w:gridCol w:w="1296"/>
        <w:gridCol w:w="648"/>
        <w:gridCol w:w="3718"/>
        <w:gridCol w:w="2445"/>
      </w:tblGrid>
      <w:tr>
        <w:tblPrEx>
          <w:shd w:val="clear" w:color="auto" w:fill="auto"/>
          <w:tblLayout w:type="fixed"/>
          <w:tblCellMar>
            <w:top w:w="0" w:type="dxa"/>
            <w:left w:w="0" w:type="dxa"/>
            <w:bottom w:w="0" w:type="dxa"/>
            <w:right w:w="0" w:type="dxa"/>
          </w:tblCellMar>
        </w:tblPrEx>
        <w:trPr>
          <w:trHeight w:val="228"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等级</w:t>
            </w:r>
          </w:p>
        </w:tc>
        <w:tc>
          <w:tcPr>
            <w:tcW w:w="648" w:type="dxa"/>
            <w:tcBorders>
              <w:top w:val="single" w:color="000000" w:sz="4" w:space="0"/>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序号</w:t>
            </w:r>
          </w:p>
        </w:tc>
        <w:tc>
          <w:tcPr>
            <w:tcW w:w="3718" w:type="dxa"/>
            <w:tcBorders>
              <w:top w:val="single" w:color="000000" w:sz="4" w:space="0"/>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学校</w:t>
            </w:r>
          </w:p>
        </w:tc>
        <w:tc>
          <w:tcPr>
            <w:tcW w:w="2445" w:type="dxa"/>
            <w:tcBorders>
              <w:top w:val="single" w:color="000000" w:sz="4" w:space="0"/>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国家（地区）</w:t>
            </w:r>
          </w:p>
        </w:tc>
      </w:tr>
      <w:tr>
        <w:tblPrEx>
          <w:tblLayout w:type="fixed"/>
          <w:tblCellMar>
            <w:top w:w="0" w:type="dxa"/>
            <w:left w:w="0" w:type="dxa"/>
            <w:bottom w:w="0" w:type="dxa"/>
            <w:right w:w="0" w:type="dxa"/>
          </w:tblCellMar>
        </w:tblPrEx>
        <w:trPr>
          <w:trHeight w:val="228" w:hRule="atLeast"/>
        </w:trPr>
        <w:tc>
          <w:tcPr>
            <w:tcW w:w="1296" w:type="dxa"/>
            <w:vMerge w:val="restart"/>
            <w:tcBorders>
              <w:top w:val="nil"/>
              <w:left w:val="single" w:color="000000" w:sz="4" w:space="0"/>
              <w:bottom w:val="nil"/>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一类</w:t>
            </w:r>
          </w:p>
        </w:tc>
        <w:tc>
          <w:tcPr>
            <w:tcW w:w="64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1</w:t>
            </w:r>
          </w:p>
        </w:tc>
        <w:tc>
          <w:tcPr>
            <w:tcW w:w="371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哈佛大学</w:t>
            </w:r>
          </w:p>
        </w:tc>
        <w:tc>
          <w:tcPr>
            <w:tcW w:w="2445"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美国</w:t>
            </w:r>
          </w:p>
        </w:tc>
      </w:tr>
      <w:tr>
        <w:tblPrEx>
          <w:tblLayout w:type="fixed"/>
          <w:tblCellMar>
            <w:top w:w="0" w:type="dxa"/>
            <w:left w:w="0" w:type="dxa"/>
            <w:bottom w:w="0" w:type="dxa"/>
            <w:right w:w="0" w:type="dxa"/>
          </w:tblCellMar>
        </w:tblPrEx>
        <w:trPr>
          <w:trHeight w:val="228" w:hRule="atLeast"/>
        </w:trPr>
        <w:tc>
          <w:tcPr>
            <w:tcW w:w="1296" w:type="dxa"/>
            <w:vMerge w:val="continue"/>
            <w:tcBorders>
              <w:top w:val="nil"/>
              <w:left w:val="single" w:color="000000" w:sz="4" w:space="0"/>
              <w:bottom w:val="nil"/>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p>
        </w:tc>
        <w:tc>
          <w:tcPr>
            <w:tcW w:w="64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2</w:t>
            </w:r>
          </w:p>
        </w:tc>
        <w:tc>
          <w:tcPr>
            <w:tcW w:w="371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牛津大学</w:t>
            </w:r>
          </w:p>
        </w:tc>
        <w:tc>
          <w:tcPr>
            <w:tcW w:w="2445"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英国</w:t>
            </w:r>
          </w:p>
        </w:tc>
      </w:tr>
      <w:tr>
        <w:tblPrEx>
          <w:tblLayout w:type="fixed"/>
          <w:tblCellMar>
            <w:top w:w="0" w:type="dxa"/>
            <w:left w:w="0" w:type="dxa"/>
            <w:bottom w:w="0" w:type="dxa"/>
            <w:right w:w="0" w:type="dxa"/>
          </w:tblCellMar>
        </w:tblPrEx>
        <w:trPr>
          <w:trHeight w:val="228" w:hRule="atLeast"/>
        </w:trPr>
        <w:tc>
          <w:tcPr>
            <w:tcW w:w="1296" w:type="dxa"/>
            <w:vMerge w:val="continue"/>
            <w:tcBorders>
              <w:top w:val="nil"/>
              <w:left w:val="single" w:color="000000" w:sz="4" w:space="0"/>
              <w:bottom w:val="nil"/>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p>
        </w:tc>
        <w:tc>
          <w:tcPr>
            <w:tcW w:w="64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3</w:t>
            </w:r>
          </w:p>
        </w:tc>
        <w:tc>
          <w:tcPr>
            <w:tcW w:w="371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剑桥大学</w:t>
            </w:r>
          </w:p>
        </w:tc>
        <w:tc>
          <w:tcPr>
            <w:tcW w:w="2445"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英国</w:t>
            </w:r>
          </w:p>
        </w:tc>
      </w:tr>
      <w:tr>
        <w:tblPrEx>
          <w:tblLayout w:type="fixed"/>
          <w:tblCellMar>
            <w:top w:w="0" w:type="dxa"/>
            <w:left w:w="0" w:type="dxa"/>
            <w:bottom w:w="0" w:type="dxa"/>
            <w:right w:w="0" w:type="dxa"/>
          </w:tblCellMar>
        </w:tblPrEx>
        <w:trPr>
          <w:trHeight w:val="228" w:hRule="atLeast"/>
        </w:trPr>
        <w:tc>
          <w:tcPr>
            <w:tcW w:w="1296" w:type="dxa"/>
            <w:vMerge w:val="continue"/>
            <w:tcBorders>
              <w:top w:val="nil"/>
              <w:left w:val="single" w:color="000000" w:sz="4" w:space="0"/>
              <w:bottom w:val="nil"/>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p>
        </w:tc>
        <w:tc>
          <w:tcPr>
            <w:tcW w:w="64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4</w:t>
            </w:r>
          </w:p>
        </w:tc>
        <w:tc>
          <w:tcPr>
            <w:tcW w:w="371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耶鲁大学</w:t>
            </w:r>
          </w:p>
        </w:tc>
        <w:tc>
          <w:tcPr>
            <w:tcW w:w="2445"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美国</w:t>
            </w:r>
          </w:p>
        </w:tc>
      </w:tr>
      <w:tr>
        <w:tblPrEx>
          <w:tblLayout w:type="fixed"/>
          <w:tblCellMar>
            <w:top w:w="0" w:type="dxa"/>
            <w:left w:w="0" w:type="dxa"/>
            <w:bottom w:w="0" w:type="dxa"/>
            <w:right w:w="0" w:type="dxa"/>
          </w:tblCellMar>
        </w:tblPrEx>
        <w:trPr>
          <w:trHeight w:val="228" w:hRule="atLeast"/>
        </w:trPr>
        <w:tc>
          <w:tcPr>
            <w:tcW w:w="1296" w:type="dxa"/>
            <w:vMerge w:val="continue"/>
            <w:tcBorders>
              <w:top w:val="nil"/>
              <w:left w:val="single" w:color="000000" w:sz="4" w:space="0"/>
              <w:bottom w:val="nil"/>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p>
        </w:tc>
        <w:tc>
          <w:tcPr>
            <w:tcW w:w="64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5</w:t>
            </w:r>
          </w:p>
        </w:tc>
        <w:tc>
          <w:tcPr>
            <w:tcW w:w="371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斯坦福大学</w:t>
            </w:r>
          </w:p>
        </w:tc>
        <w:tc>
          <w:tcPr>
            <w:tcW w:w="2445"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美国</w:t>
            </w:r>
          </w:p>
        </w:tc>
      </w:tr>
      <w:tr>
        <w:tblPrEx>
          <w:tblLayout w:type="fixed"/>
          <w:tblCellMar>
            <w:top w:w="0" w:type="dxa"/>
            <w:left w:w="0" w:type="dxa"/>
            <w:bottom w:w="0" w:type="dxa"/>
            <w:right w:w="0" w:type="dxa"/>
          </w:tblCellMar>
        </w:tblPrEx>
        <w:trPr>
          <w:trHeight w:val="228" w:hRule="atLeast"/>
        </w:trPr>
        <w:tc>
          <w:tcPr>
            <w:tcW w:w="1296" w:type="dxa"/>
            <w:vMerge w:val="continue"/>
            <w:tcBorders>
              <w:top w:val="nil"/>
              <w:left w:val="single" w:color="000000" w:sz="4" w:space="0"/>
              <w:bottom w:val="nil"/>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p>
        </w:tc>
        <w:tc>
          <w:tcPr>
            <w:tcW w:w="64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6</w:t>
            </w:r>
          </w:p>
        </w:tc>
        <w:tc>
          <w:tcPr>
            <w:tcW w:w="371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纽约大学</w:t>
            </w:r>
          </w:p>
        </w:tc>
        <w:tc>
          <w:tcPr>
            <w:tcW w:w="2445"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美国</w:t>
            </w:r>
          </w:p>
        </w:tc>
      </w:tr>
      <w:tr>
        <w:tblPrEx>
          <w:tblLayout w:type="fixed"/>
          <w:tblCellMar>
            <w:top w:w="0" w:type="dxa"/>
            <w:left w:w="0" w:type="dxa"/>
            <w:bottom w:w="0" w:type="dxa"/>
            <w:right w:w="0" w:type="dxa"/>
          </w:tblCellMar>
        </w:tblPrEx>
        <w:trPr>
          <w:trHeight w:val="228" w:hRule="atLeast"/>
        </w:trPr>
        <w:tc>
          <w:tcPr>
            <w:tcW w:w="1296" w:type="dxa"/>
            <w:vMerge w:val="continue"/>
            <w:tcBorders>
              <w:top w:val="nil"/>
              <w:left w:val="single" w:color="000000" w:sz="4" w:space="0"/>
              <w:bottom w:val="nil"/>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p>
        </w:tc>
        <w:tc>
          <w:tcPr>
            <w:tcW w:w="64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7</w:t>
            </w:r>
          </w:p>
        </w:tc>
        <w:tc>
          <w:tcPr>
            <w:tcW w:w="371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伦敦政治经济学院</w:t>
            </w:r>
          </w:p>
        </w:tc>
        <w:tc>
          <w:tcPr>
            <w:tcW w:w="2445"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英国</w:t>
            </w:r>
          </w:p>
        </w:tc>
      </w:tr>
      <w:tr>
        <w:tblPrEx>
          <w:tblLayout w:type="fixed"/>
          <w:tblCellMar>
            <w:top w:w="0" w:type="dxa"/>
            <w:left w:w="0" w:type="dxa"/>
            <w:bottom w:w="0" w:type="dxa"/>
            <w:right w:w="0" w:type="dxa"/>
          </w:tblCellMar>
        </w:tblPrEx>
        <w:trPr>
          <w:trHeight w:val="228" w:hRule="atLeast"/>
        </w:trPr>
        <w:tc>
          <w:tcPr>
            <w:tcW w:w="1296" w:type="dxa"/>
            <w:vMerge w:val="continue"/>
            <w:tcBorders>
              <w:top w:val="nil"/>
              <w:left w:val="single" w:color="000000" w:sz="4" w:space="0"/>
              <w:bottom w:val="nil"/>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p>
        </w:tc>
        <w:tc>
          <w:tcPr>
            <w:tcW w:w="64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8</w:t>
            </w:r>
          </w:p>
        </w:tc>
        <w:tc>
          <w:tcPr>
            <w:tcW w:w="371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墨尔本大学</w:t>
            </w:r>
          </w:p>
        </w:tc>
        <w:tc>
          <w:tcPr>
            <w:tcW w:w="2445"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澳大利亚</w:t>
            </w:r>
          </w:p>
        </w:tc>
      </w:tr>
      <w:tr>
        <w:tblPrEx>
          <w:tblLayout w:type="fixed"/>
          <w:tblCellMar>
            <w:top w:w="0" w:type="dxa"/>
            <w:left w:w="0" w:type="dxa"/>
            <w:bottom w:w="0" w:type="dxa"/>
            <w:right w:w="0" w:type="dxa"/>
          </w:tblCellMar>
        </w:tblPrEx>
        <w:trPr>
          <w:trHeight w:val="228" w:hRule="atLeast"/>
        </w:trPr>
        <w:tc>
          <w:tcPr>
            <w:tcW w:w="1296" w:type="dxa"/>
            <w:vMerge w:val="continue"/>
            <w:tcBorders>
              <w:top w:val="nil"/>
              <w:left w:val="single" w:color="000000" w:sz="4" w:space="0"/>
              <w:bottom w:val="nil"/>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p>
        </w:tc>
        <w:tc>
          <w:tcPr>
            <w:tcW w:w="64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9</w:t>
            </w:r>
          </w:p>
        </w:tc>
        <w:tc>
          <w:tcPr>
            <w:tcW w:w="371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东京大学</w:t>
            </w:r>
          </w:p>
        </w:tc>
        <w:tc>
          <w:tcPr>
            <w:tcW w:w="2445"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日本</w:t>
            </w:r>
          </w:p>
        </w:tc>
      </w:tr>
      <w:tr>
        <w:tblPrEx>
          <w:tblLayout w:type="fixed"/>
          <w:tblCellMar>
            <w:top w:w="0" w:type="dxa"/>
            <w:left w:w="0" w:type="dxa"/>
            <w:bottom w:w="0" w:type="dxa"/>
            <w:right w:w="0" w:type="dxa"/>
          </w:tblCellMar>
        </w:tblPrEx>
        <w:trPr>
          <w:trHeight w:val="228" w:hRule="atLeast"/>
        </w:trPr>
        <w:tc>
          <w:tcPr>
            <w:tcW w:w="1296" w:type="dxa"/>
            <w:vMerge w:val="continue"/>
            <w:tcBorders>
              <w:top w:val="nil"/>
              <w:left w:val="single" w:color="000000" w:sz="4" w:space="0"/>
              <w:bottom w:val="nil"/>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p>
        </w:tc>
        <w:tc>
          <w:tcPr>
            <w:tcW w:w="64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10</w:t>
            </w:r>
          </w:p>
        </w:tc>
        <w:tc>
          <w:tcPr>
            <w:tcW w:w="371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海德堡大学</w:t>
            </w:r>
          </w:p>
        </w:tc>
        <w:tc>
          <w:tcPr>
            <w:tcW w:w="2445"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德国</w:t>
            </w:r>
          </w:p>
        </w:tc>
      </w:tr>
      <w:tr>
        <w:tblPrEx>
          <w:tblLayout w:type="fixed"/>
          <w:tblCellMar>
            <w:top w:w="0" w:type="dxa"/>
            <w:left w:w="0" w:type="dxa"/>
            <w:bottom w:w="0" w:type="dxa"/>
            <w:right w:w="0" w:type="dxa"/>
          </w:tblCellMar>
        </w:tblPrEx>
        <w:trPr>
          <w:trHeight w:val="228" w:hRule="atLeast"/>
        </w:trPr>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二类</w:t>
            </w:r>
          </w:p>
        </w:tc>
        <w:tc>
          <w:tcPr>
            <w:tcW w:w="64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1</w:t>
            </w:r>
          </w:p>
        </w:tc>
        <w:tc>
          <w:tcPr>
            <w:tcW w:w="371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加州伯克利分校</w:t>
            </w:r>
          </w:p>
        </w:tc>
        <w:tc>
          <w:tcPr>
            <w:tcW w:w="2445"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美国</w:t>
            </w:r>
          </w:p>
        </w:tc>
      </w:tr>
      <w:tr>
        <w:tblPrEx>
          <w:tblLayout w:type="fixed"/>
          <w:tblCellMar>
            <w:top w:w="0" w:type="dxa"/>
            <w:left w:w="0" w:type="dxa"/>
            <w:bottom w:w="0" w:type="dxa"/>
            <w:right w:w="0" w:type="dxa"/>
          </w:tblCellMar>
        </w:tblPrEx>
        <w:trPr>
          <w:trHeight w:val="228"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p>
        </w:tc>
        <w:tc>
          <w:tcPr>
            <w:tcW w:w="64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2</w:t>
            </w:r>
          </w:p>
        </w:tc>
        <w:tc>
          <w:tcPr>
            <w:tcW w:w="371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哥伦比亚大学</w:t>
            </w:r>
          </w:p>
        </w:tc>
        <w:tc>
          <w:tcPr>
            <w:tcW w:w="2445"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美国</w:t>
            </w:r>
          </w:p>
        </w:tc>
      </w:tr>
      <w:tr>
        <w:tblPrEx>
          <w:tblLayout w:type="fixed"/>
          <w:tblCellMar>
            <w:top w:w="0" w:type="dxa"/>
            <w:left w:w="0" w:type="dxa"/>
            <w:bottom w:w="0" w:type="dxa"/>
            <w:right w:w="0" w:type="dxa"/>
          </w:tblCellMar>
        </w:tblPrEx>
        <w:trPr>
          <w:trHeight w:val="228"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p>
        </w:tc>
        <w:tc>
          <w:tcPr>
            <w:tcW w:w="64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3</w:t>
            </w:r>
          </w:p>
        </w:tc>
        <w:tc>
          <w:tcPr>
            <w:tcW w:w="371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芝加哥大学</w:t>
            </w:r>
          </w:p>
        </w:tc>
        <w:tc>
          <w:tcPr>
            <w:tcW w:w="2445"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美国</w:t>
            </w:r>
          </w:p>
        </w:tc>
      </w:tr>
      <w:tr>
        <w:tblPrEx>
          <w:tblLayout w:type="fixed"/>
          <w:tblCellMar>
            <w:top w:w="0" w:type="dxa"/>
            <w:left w:w="0" w:type="dxa"/>
            <w:bottom w:w="0" w:type="dxa"/>
            <w:right w:w="0" w:type="dxa"/>
          </w:tblCellMar>
        </w:tblPrEx>
        <w:trPr>
          <w:trHeight w:val="228"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p>
        </w:tc>
        <w:tc>
          <w:tcPr>
            <w:tcW w:w="64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4</w:t>
            </w:r>
          </w:p>
        </w:tc>
        <w:tc>
          <w:tcPr>
            <w:tcW w:w="371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伦敦大学学院</w:t>
            </w:r>
          </w:p>
        </w:tc>
        <w:tc>
          <w:tcPr>
            <w:tcW w:w="2445"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英国</w:t>
            </w:r>
          </w:p>
        </w:tc>
      </w:tr>
      <w:tr>
        <w:tblPrEx>
          <w:tblLayout w:type="fixed"/>
          <w:tblCellMar>
            <w:top w:w="0" w:type="dxa"/>
            <w:left w:w="0" w:type="dxa"/>
            <w:bottom w:w="0" w:type="dxa"/>
            <w:right w:w="0" w:type="dxa"/>
          </w:tblCellMar>
        </w:tblPrEx>
        <w:trPr>
          <w:trHeight w:val="228"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p>
        </w:tc>
        <w:tc>
          <w:tcPr>
            <w:tcW w:w="64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5</w:t>
            </w:r>
          </w:p>
        </w:tc>
        <w:tc>
          <w:tcPr>
            <w:tcW w:w="371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悉尼大学</w:t>
            </w:r>
          </w:p>
        </w:tc>
        <w:tc>
          <w:tcPr>
            <w:tcW w:w="2445"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澳大利亚</w:t>
            </w:r>
          </w:p>
        </w:tc>
      </w:tr>
      <w:tr>
        <w:tblPrEx>
          <w:tblLayout w:type="fixed"/>
          <w:tblCellMar>
            <w:top w:w="0" w:type="dxa"/>
            <w:left w:w="0" w:type="dxa"/>
            <w:bottom w:w="0" w:type="dxa"/>
            <w:right w:w="0" w:type="dxa"/>
          </w:tblCellMar>
        </w:tblPrEx>
        <w:trPr>
          <w:trHeight w:val="228"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p>
        </w:tc>
        <w:tc>
          <w:tcPr>
            <w:tcW w:w="64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6</w:t>
            </w:r>
          </w:p>
        </w:tc>
        <w:tc>
          <w:tcPr>
            <w:tcW w:w="371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新加坡国立大学</w:t>
            </w:r>
          </w:p>
        </w:tc>
        <w:tc>
          <w:tcPr>
            <w:tcW w:w="2445"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新加坡</w:t>
            </w:r>
          </w:p>
        </w:tc>
      </w:tr>
      <w:tr>
        <w:tblPrEx>
          <w:tblLayout w:type="fixed"/>
          <w:tblCellMar>
            <w:top w:w="0" w:type="dxa"/>
            <w:left w:w="0" w:type="dxa"/>
            <w:bottom w:w="0" w:type="dxa"/>
            <w:right w:w="0" w:type="dxa"/>
          </w:tblCellMar>
        </w:tblPrEx>
        <w:trPr>
          <w:trHeight w:val="228"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p>
        </w:tc>
        <w:tc>
          <w:tcPr>
            <w:tcW w:w="64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7</w:t>
            </w:r>
          </w:p>
        </w:tc>
        <w:tc>
          <w:tcPr>
            <w:tcW w:w="371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蒙特利尔大学</w:t>
            </w:r>
          </w:p>
        </w:tc>
        <w:tc>
          <w:tcPr>
            <w:tcW w:w="2445"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加拿大</w:t>
            </w:r>
          </w:p>
        </w:tc>
      </w:tr>
      <w:tr>
        <w:tblPrEx>
          <w:tblLayout w:type="fixed"/>
          <w:tblCellMar>
            <w:top w:w="0" w:type="dxa"/>
            <w:left w:w="0" w:type="dxa"/>
            <w:bottom w:w="0" w:type="dxa"/>
            <w:right w:w="0" w:type="dxa"/>
          </w:tblCellMar>
        </w:tblPrEx>
        <w:trPr>
          <w:trHeight w:val="228"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p>
        </w:tc>
        <w:tc>
          <w:tcPr>
            <w:tcW w:w="64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8</w:t>
            </w:r>
          </w:p>
        </w:tc>
        <w:tc>
          <w:tcPr>
            <w:tcW w:w="371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伦敦国王学院</w:t>
            </w:r>
          </w:p>
        </w:tc>
        <w:tc>
          <w:tcPr>
            <w:tcW w:w="2445"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英国</w:t>
            </w:r>
          </w:p>
        </w:tc>
      </w:tr>
      <w:tr>
        <w:tblPrEx>
          <w:tblLayout w:type="fixed"/>
          <w:tblCellMar>
            <w:top w:w="0" w:type="dxa"/>
            <w:left w:w="0" w:type="dxa"/>
            <w:bottom w:w="0" w:type="dxa"/>
            <w:right w:w="0" w:type="dxa"/>
          </w:tblCellMar>
        </w:tblPrEx>
        <w:trPr>
          <w:trHeight w:val="228"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p>
        </w:tc>
        <w:tc>
          <w:tcPr>
            <w:tcW w:w="64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9</w:t>
            </w:r>
          </w:p>
        </w:tc>
        <w:tc>
          <w:tcPr>
            <w:tcW w:w="371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乔治城大学</w:t>
            </w:r>
          </w:p>
        </w:tc>
        <w:tc>
          <w:tcPr>
            <w:tcW w:w="2445"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美国</w:t>
            </w:r>
          </w:p>
        </w:tc>
      </w:tr>
      <w:tr>
        <w:tblPrEx>
          <w:tblLayout w:type="fixed"/>
          <w:tblCellMar>
            <w:top w:w="0" w:type="dxa"/>
            <w:left w:w="0" w:type="dxa"/>
            <w:bottom w:w="0" w:type="dxa"/>
            <w:right w:w="0" w:type="dxa"/>
          </w:tblCellMar>
        </w:tblPrEx>
        <w:trPr>
          <w:trHeight w:val="228"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p>
        </w:tc>
        <w:tc>
          <w:tcPr>
            <w:tcW w:w="64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10</w:t>
            </w:r>
          </w:p>
        </w:tc>
        <w:tc>
          <w:tcPr>
            <w:tcW w:w="371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爱丁堡大学</w:t>
            </w:r>
          </w:p>
        </w:tc>
        <w:tc>
          <w:tcPr>
            <w:tcW w:w="2445"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英国</w:t>
            </w:r>
          </w:p>
        </w:tc>
      </w:tr>
      <w:tr>
        <w:tblPrEx>
          <w:tblLayout w:type="fixed"/>
          <w:tblCellMar>
            <w:top w:w="0" w:type="dxa"/>
            <w:left w:w="0" w:type="dxa"/>
            <w:bottom w:w="0" w:type="dxa"/>
            <w:right w:w="0" w:type="dxa"/>
          </w:tblCellMar>
        </w:tblPrEx>
        <w:trPr>
          <w:trHeight w:val="228"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p>
        </w:tc>
        <w:tc>
          <w:tcPr>
            <w:tcW w:w="64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11</w:t>
            </w:r>
          </w:p>
        </w:tc>
        <w:tc>
          <w:tcPr>
            <w:tcW w:w="371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巴黎第一大学</w:t>
            </w:r>
          </w:p>
        </w:tc>
        <w:tc>
          <w:tcPr>
            <w:tcW w:w="2445"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法国</w:t>
            </w:r>
          </w:p>
        </w:tc>
      </w:tr>
      <w:tr>
        <w:tblPrEx>
          <w:tblLayout w:type="fixed"/>
          <w:tblCellMar>
            <w:top w:w="0" w:type="dxa"/>
            <w:left w:w="0" w:type="dxa"/>
            <w:bottom w:w="0" w:type="dxa"/>
            <w:right w:w="0" w:type="dxa"/>
          </w:tblCellMar>
        </w:tblPrEx>
        <w:trPr>
          <w:trHeight w:val="228"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p>
        </w:tc>
        <w:tc>
          <w:tcPr>
            <w:tcW w:w="64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12</w:t>
            </w:r>
          </w:p>
        </w:tc>
        <w:tc>
          <w:tcPr>
            <w:tcW w:w="371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莫纳什大学</w:t>
            </w:r>
          </w:p>
        </w:tc>
        <w:tc>
          <w:tcPr>
            <w:tcW w:w="2445"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澳大利亚</w:t>
            </w:r>
          </w:p>
        </w:tc>
      </w:tr>
      <w:tr>
        <w:tblPrEx>
          <w:tblLayout w:type="fixed"/>
          <w:tblCellMar>
            <w:top w:w="0" w:type="dxa"/>
            <w:left w:w="0" w:type="dxa"/>
            <w:bottom w:w="0" w:type="dxa"/>
            <w:right w:w="0" w:type="dxa"/>
          </w:tblCellMar>
        </w:tblPrEx>
        <w:trPr>
          <w:trHeight w:val="228"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p>
        </w:tc>
        <w:tc>
          <w:tcPr>
            <w:tcW w:w="64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13</w:t>
            </w:r>
          </w:p>
        </w:tc>
        <w:tc>
          <w:tcPr>
            <w:tcW w:w="371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莱顿大学</w:t>
            </w:r>
          </w:p>
        </w:tc>
        <w:tc>
          <w:tcPr>
            <w:tcW w:w="2445"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荷兰</w:t>
            </w:r>
          </w:p>
        </w:tc>
      </w:tr>
      <w:tr>
        <w:tblPrEx>
          <w:tblLayout w:type="fixed"/>
          <w:tblCellMar>
            <w:top w:w="0" w:type="dxa"/>
            <w:left w:w="0" w:type="dxa"/>
            <w:bottom w:w="0" w:type="dxa"/>
            <w:right w:w="0" w:type="dxa"/>
          </w:tblCellMar>
        </w:tblPrEx>
        <w:trPr>
          <w:trHeight w:val="228"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p>
        </w:tc>
        <w:tc>
          <w:tcPr>
            <w:tcW w:w="64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14</w:t>
            </w:r>
          </w:p>
        </w:tc>
        <w:tc>
          <w:tcPr>
            <w:tcW w:w="371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华盛顿大学圣路易斯分校</w:t>
            </w:r>
          </w:p>
        </w:tc>
        <w:tc>
          <w:tcPr>
            <w:tcW w:w="2445"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美国</w:t>
            </w:r>
          </w:p>
        </w:tc>
      </w:tr>
      <w:tr>
        <w:tblPrEx>
          <w:tblLayout w:type="fixed"/>
          <w:tblCellMar>
            <w:top w:w="0" w:type="dxa"/>
            <w:left w:w="0" w:type="dxa"/>
            <w:bottom w:w="0" w:type="dxa"/>
            <w:right w:w="0" w:type="dxa"/>
          </w:tblCellMar>
        </w:tblPrEx>
        <w:trPr>
          <w:trHeight w:val="228"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p>
        </w:tc>
        <w:tc>
          <w:tcPr>
            <w:tcW w:w="64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15</w:t>
            </w:r>
          </w:p>
        </w:tc>
        <w:tc>
          <w:tcPr>
            <w:tcW w:w="371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慕尼黑大学</w:t>
            </w:r>
          </w:p>
        </w:tc>
        <w:tc>
          <w:tcPr>
            <w:tcW w:w="2445"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德国</w:t>
            </w:r>
          </w:p>
        </w:tc>
      </w:tr>
      <w:tr>
        <w:tblPrEx>
          <w:tblLayout w:type="fixed"/>
          <w:tblCellMar>
            <w:top w:w="0" w:type="dxa"/>
            <w:left w:w="0" w:type="dxa"/>
            <w:bottom w:w="0" w:type="dxa"/>
            <w:right w:w="0" w:type="dxa"/>
          </w:tblCellMar>
        </w:tblPrEx>
        <w:trPr>
          <w:trHeight w:val="228"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p>
        </w:tc>
        <w:tc>
          <w:tcPr>
            <w:tcW w:w="64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16</w:t>
            </w:r>
          </w:p>
        </w:tc>
        <w:tc>
          <w:tcPr>
            <w:tcW w:w="371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科隆大学</w:t>
            </w:r>
          </w:p>
        </w:tc>
        <w:tc>
          <w:tcPr>
            <w:tcW w:w="2445"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德国</w:t>
            </w:r>
          </w:p>
        </w:tc>
      </w:tr>
      <w:tr>
        <w:tblPrEx>
          <w:tblLayout w:type="fixed"/>
          <w:tblCellMar>
            <w:top w:w="0" w:type="dxa"/>
            <w:left w:w="0" w:type="dxa"/>
            <w:bottom w:w="0" w:type="dxa"/>
            <w:right w:w="0" w:type="dxa"/>
          </w:tblCellMar>
        </w:tblPrEx>
        <w:trPr>
          <w:trHeight w:val="228"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p>
        </w:tc>
        <w:tc>
          <w:tcPr>
            <w:tcW w:w="64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17</w:t>
            </w:r>
          </w:p>
        </w:tc>
        <w:tc>
          <w:tcPr>
            <w:tcW w:w="371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埃默里大学</w:t>
            </w:r>
          </w:p>
        </w:tc>
        <w:tc>
          <w:tcPr>
            <w:tcW w:w="2445"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美国</w:t>
            </w:r>
          </w:p>
        </w:tc>
      </w:tr>
      <w:tr>
        <w:tblPrEx>
          <w:tblLayout w:type="fixed"/>
          <w:tblCellMar>
            <w:top w:w="0" w:type="dxa"/>
            <w:left w:w="0" w:type="dxa"/>
            <w:bottom w:w="0" w:type="dxa"/>
            <w:right w:w="0" w:type="dxa"/>
          </w:tblCellMar>
        </w:tblPrEx>
        <w:trPr>
          <w:trHeight w:val="228"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p>
        </w:tc>
        <w:tc>
          <w:tcPr>
            <w:tcW w:w="64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18</w:t>
            </w:r>
          </w:p>
        </w:tc>
        <w:tc>
          <w:tcPr>
            <w:tcW w:w="371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罗马第一大学</w:t>
            </w:r>
          </w:p>
        </w:tc>
        <w:tc>
          <w:tcPr>
            <w:tcW w:w="2445"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意大利</w:t>
            </w:r>
          </w:p>
        </w:tc>
      </w:tr>
      <w:tr>
        <w:tblPrEx>
          <w:tblLayout w:type="fixed"/>
          <w:tblCellMar>
            <w:top w:w="0" w:type="dxa"/>
            <w:left w:w="0" w:type="dxa"/>
            <w:bottom w:w="0" w:type="dxa"/>
            <w:right w:w="0" w:type="dxa"/>
          </w:tblCellMar>
        </w:tblPrEx>
        <w:trPr>
          <w:trHeight w:val="228"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p>
        </w:tc>
        <w:tc>
          <w:tcPr>
            <w:tcW w:w="64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19</w:t>
            </w:r>
          </w:p>
        </w:tc>
        <w:tc>
          <w:tcPr>
            <w:tcW w:w="371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特伦托大学</w:t>
            </w:r>
          </w:p>
        </w:tc>
        <w:tc>
          <w:tcPr>
            <w:tcW w:w="2445"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意大利</w:t>
            </w:r>
          </w:p>
        </w:tc>
      </w:tr>
      <w:tr>
        <w:tblPrEx>
          <w:tblLayout w:type="fixed"/>
          <w:tblCellMar>
            <w:top w:w="0" w:type="dxa"/>
            <w:left w:w="0" w:type="dxa"/>
            <w:bottom w:w="0" w:type="dxa"/>
            <w:right w:w="0" w:type="dxa"/>
          </w:tblCellMar>
        </w:tblPrEx>
        <w:trPr>
          <w:trHeight w:val="228"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p>
        </w:tc>
        <w:tc>
          <w:tcPr>
            <w:tcW w:w="64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top"/>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20</w:t>
            </w:r>
          </w:p>
        </w:tc>
        <w:tc>
          <w:tcPr>
            <w:tcW w:w="371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宾夕法尼亚州立大学</w:t>
            </w:r>
          </w:p>
        </w:tc>
        <w:tc>
          <w:tcPr>
            <w:tcW w:w="2445"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jc w:val="center"/>
              <w:textAlignment w:val="center"/>
              <w:rPr>
                <w:rFonts w:hint="eastAsia" w:ascii="宋体" w:hAnsi="宋体" w:eastAsia="宋体" w:cs="宋体"/>
                <w:b w:val="0"/>
                <w:bCs w:val="0"/>
                <w:color w:val="auto"/>
                <w:kern w:val="0"/>
                <w:sz w:val="30"/>
                <w:szCs w:val="30"/>
              </w:rPr>
            </w:pPr>
            <w:r>
              <w:rPr>
                <w:rFonts w:hint="eastAsia" w:ascii="宋体" w:hAnsi="宋体" w:eastAsia="宋体" w:cs="宋体"/>
                <w:b w:val="0"/>
                <w:bCs w:val="0"/>
                <w:color w:val="auto"/>
                <w:kern w:val="0"/>
                <w:sz w:val="30"/>
                <w:szCs w:val="30"/>
                <w:lang w:val="en-US" w:eastAsia="zh-CN"/>
              </w:rPr>
              <w:t>美国</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jc w:val="left"/>
        <w:rPr>
          <w:rFonts w:hint="eastAsia" w:ascii="仿宋" w:hAnsi="仿宋" w:eastAsia="仿宋" w:cs="仿宋"/>
          <w:color w:val="333333"/>
          <w:sz w:val="28"/>
          <w:szCs w:val="28"/>
        </w:rPr>
      </w:pPr>
      <w:r>
        <w:rPr>
          <w:rFonts w:hint="eastAsia" w:ascii="仿宋" w:hAnsi="仿宋" w:eastAsia="仿宋" w:cs="仿宋"/>
          <w:i w:val="0"/>
          <w:caps w:val="0"/>
          <w:color w:val="000000"/>
          <w:spacing w:val="0"/>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jc w:val="left"/>
        <w:rPr>
          <w:rFonts w:hint="eastAsia" w:ascii="仿宋" w:hAnsi="仿宋" w:eastAsia="仿宋" w:cs="仿宋"/>
          <w:color w:val="333333"/>
          <w:sz w:val="28"/>
          <w:szCs w:val="28"/>
        </w:rPr>
      </w:pPr>
      <w:r>
        <w:rPr>
          <w:rFonts w:hint="eastAsia" w:ascii="仿宋" w:hAnsi="仿宋" w:eastAsia="仿宋" w:cs="仿宋"/>
          <w:i w:val="0"/>
          <w:caps w:val="0"/>
          <w:color w:val="000000"/>
          <w:spacing w:val="0"/>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firstLine="384"/>
        <w:jc w:val="left"/>
        <w:rPr>
          <w:rFonts w:hint="eastAsia" w:ascii="仿宋" w:hAnsi="仿宋" w:eastAsia="仿宋" w:cs="仿宋"/>
          <w:color w:val="333333"/>
          <w:sz w:val="28"/>
          <w:szCs w:val="28"/>
        </w:rPr>
      </w:pPr>
      <w:r>
        <w:rPr>
          <w:rFonts w:hint="eastAsia" w:ascii="仿宋" w:hAnsi="仿宋" w:eastAsia="仿宋" w:cs="仿宋"/>
          <w:i w:val="0"/>
          <w:caps w:val="0"/>
          <w:color w:val="000000"/>
          <w:spacing w:val="0"/>
          <w:kern w:val="0"/>
          <w:sz w:val="28"/>
          <w:szCs w:val="28"/>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76" w:lineRule="atLeast"/>
        <w:ind w:left="0" w:right="0"/>
        <w:jc w:val="center"/>
        <w:rPr>
          <w:rFonts w:hint="eastAsia" w:ascii="仿宋" w:hAnsi="仿宋" w:eastAsia="仿宋" w:cs="仿宋"/>
          <w:color w:val="E2E2E2"/>
          <w:sz w:val="28"/>
          <w:szCs w:val="28"/>
        </w:rPr>
      </w:pPr>
      <w:r>
        <w:rPr>
          <w:rFonts w:hint="eastAsia" w:ascii="仿宋" w:hAnsi="仿宋" w:eastAsia="仿宋" w:cs="仿宋"/>
          <w:i w:val="0"/>
          <w:caps w:val="0"/>
          <w:color w:val="000000"/>
          <w:spacing w:val="0"/>
          <w:kern w:val="0"/>
          <w:sz w:val="28"/>
          <w:szCs w:val="28"/>
          <w:lang w:val="en-US" w:eastAsia="zh-CN" w:bidi="ar"/>
        </w:rPr>
        <w:t>  </w:t>
      </w:r>
    </w:p>
    <w:p>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Light">
    <w:altName w:val="黑体"/>
    <w:panose1 w:val="020B0502040204020203"/>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46CEA"/>
    <w:rsid w:val="0B446CEA"/>
    <w:rsid w:val="15271856"/>
    <w:rsid w:val="1A732E4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微软雅黑 Light" w:cs="宋体"/>
      <w:color w:val="000000"/>
      <w:kern w:val="2"/>
      <w:sz w:val="24"/>
      <w:szCs w:val="21"/>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131</TotalTime>
  <ScaleCrop>false</ScaleCrop>
  <LinksUpToDate>false</LinksUpToDate>
  <CharactersWithSpaces>0</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2018-11-16T02:12:00Z</dcterms:created>
  <dc:creator>ch2012wh</dc:creator>
  <cp:lastModifiedBy>ch2012wh</cp:lastModifiedBy>
  <cp:lastPrinted>2018-11-16T02:59:00Z</cp:lastPrinted>
  <dcterms:modified xsi:type="dcterms:W3CDTF">2018-11-19T02:08:13Z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